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349" w:rsidRPr="009E6260" w:rsidRDefault="009E0349" w:rsidP="009E0349">
      <w:pPr>
        <w:pStyle w:val="ListParagraph"/>
        <w:ind w:left="644"/>
        <w:rPr>
          <w:b/>
          <w:sz w:val="32"/>
          <w:szCs w:val="32"/>
          <w:lang w:val="en-GB"/>
        </w:rPr>
      </w:pPr>
      <w:r w:rsidRPr="009E6260">
        <w:rPr>
          <w:b/>
          <w:sz w:val="32"/>
          <w:szCs w:val="32"/>
          <w:lang w:val="en-GB"/>
        </w:rPr>
        <w:t>Terms and Condition for Appointment of Independent Director:</w:t>
      </w:r>
    </w:p>
    <w:p w:rsidR="009E0349" w:rsidRPr="009E0349" w:rsidRDefault="009E0349" w:rsidP="009E0349">
      <w:pPr>
        <w:pStyle w:val="ListParagraph"/>
        <w:spacing w:line="259" w:lineRule="auto"/>
        <w:ind w:right="78"/>
        <w:jc w:val="both"/>
      </w:pPr>
      <w:r w:rsidRPr="009E0349">
        <w:t>The appointment will be for the period mentioned against their   respective names (“Term”). The Company may disengage Independent Directors prior to completion of the Term subject to compliance of relevant provisions of the 2013 Act.</w:t>
      </w:r>
      <w:r w:rsidR="00232637" w:rsidRPr="00232637">
        <w:t xml:space="preserve"> </w:t>
      </w:r>
      <w:r w:rsidR="00232637">
        <w:t>The appointment of Independent Directors of the Company is subject to confirmation by shareholders in the next Annual General Meeting and the extant provisions of applicable laws including (i) Companies Act, 2013 (ii) Securities Exchange Board of India (Listing Obligations and Disclosure Requirements) Regulations, 2015 (as amended from time to time) and (iii) Articles of Association of the Company</w:t>
      </w:r>
    </w:p>
    <w:p w:rsidR="009E0349" w:rsidRPr="009E0349" w:rsidRDefault="009E0349" w:rsidP="009E0349">
      <w:pPr>
        <w:pStyle w:val="ListParagraph"/>
        <w:spacing w:before="20" w:line="280" w:lineRule="exact"/>
      </w:pPr>
    </w:p>
    <w:p w:rsidR="009E0349" w:rsidRPr="009E0349" w:rsidRDefault="009E0349" w:rsidP="009E0349">
      <w:pPr>
        <w:pStyle w:val="ListParagraph"/>
        <w:spacing w:line="259" w:lineRule="auto"/>
        <w:ind w:right="73"/>
        <w:jc w:val="both"/>
      </w:pPr>
      <w:r w:rsidRPr="009E0349">
        <w:t xml:space="preserve">The word “term” should be construed as defined under Companies Act, 2013 and the SEBI (Listing    Obligations and   Disclosure Requirements)   Regulations, 2015.   The Company  has   adopted  the   provisions  with   respect   to  appointment  and   term   of Independent  Directors, which   is  in  consistent  with   the  Act  and   the  SEBI (Listing Obligations and  Disclosure Requirements) Regulations, 2015. Re-appointment for  the second term  shall  be  based  on  recommendation of the  Nomination &amp; Remuneration Committee  and   subject   to  approval  of  the   Board   and   the  shareholders.  </w:t>
      </w:r>
      <w:r>
        <w:t>R</w:t>
      </w:r>
      <w:r w:rsidRPr="009E0349">
        <w:t>e- appointment would be considered by   the   Board,   based   on   the   outcome of the performance evaluation process and continuing to meet independence criteria.</w:t>
      </w:r>
    </w:p>
    <w:p w:rsidR="00526F41" w:rsidRDefault="00526F41">
      <w:bookmarkStart w:id="0" w:name="_GoBack"/>
      <w:bookmarkEnd w:id="0"/>
    </w:p>
    <w:sectPr w:rsidR="00526F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14653"/>
    <w:multiLevelType w:val="hybridMultilevel"/>
    <w:tmpl w:val="7BA4B18A"/>
    <w:lvl w:ilvl="0" w:tplc="40090011">
      <w:start w:val="1"/>
      <w:numFmt w:val="decimal"/>
      <w:lvlText w:val="%1)"/>
      <w:lvlJc w:val="left"/>
      <w:pPr>
        <w:ind w:left="644"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BF0"/>
    <w:rsid w:val="00232637"/>
    <w:rsid w:val="00526F41"/>
    <w:rsid w:val="009E0349"/>
    <w:rsid w:val="00FF6BF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3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3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1254</Characters>
  <Application>Microsoft Office Word</Application>
  <DocSecurity>0</DocSecurity>
  <Lines>10</Lines>
  <Paragraphs>2</Paragraphs>
  <ScaleCrop>false</ScaleCrop>
  <Company/>
  <LinksUpToDate>false</LinksUpToDate>
  <CharactersWithSpaces>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2022-07-15T09:33:00Z</dcterms:created>
  <dcterms:modified xsi:type="dcterms:W3CDTF">2022-07-15T09:35:00Z</dcterms:modified>
</cp:coreProperties>
</file>